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УИД: 86</w:t>
      </w:r>
      <w:r>
        <w:rPr>
          <w:rFonts w:ascii="Times New Roman" w:eastAsia="Times New Roman" w:hAnsi="Times New Roman" w:cs="Times New Roman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3-0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-2024-00</w:t>
      </w:r>
      <w:r>
        <w:rPr>
          <w:rFonts w:ascii="Times New Roman" w:eastAsia="Times New Roman" w:hAnsi="Times New Roman" w:cs="Times New Roman"/>
          <w:sz w:val="25"/>
          <w:szCs w:val="25"/>
        </w:rPr>
        <w:t>0301</w:t>
      </w:r>
      <w:r>
        <w:rPr>
          <w:rFonts w:ascii="Times New Roman" w:eastAsia="Times New Roman" w:hAnsi="Times New Roman" w:cs="Times New Roman"/>
          <w:sz w:val="25"/>
          <w:szCs w:val="25"/>
        </w:rPr>
        <w:t>-6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№ 5-</w:t>
      </w:r>
      <w:r>
        <w:rPr>
          <w:rFonts w:ascii="Times New Roman" w:eastAsia="Times New Roman" w:hAnsi="Times New Roman" w:cs="Times New Roman"/>
          <w:sz w:val="25"/>
          <w:szCs w:val="25"/>
        </w:rPr>
        <w:t>372</w:t>
      </w:r>
      <w:r>
        <w:rPr>
          <w:rFonts w:ascii="Times New Roman" w:eastAsia="Times New Roman" w:hAnsi="Times New Roman" w:cs="Times New Roman"/>
          <w:sz w:val="25"/>
          <w:szCs w:val="25"/>
        </w:rPr>
        <w:t>-2301/202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28 мая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Покачи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</w:t>
      </w:r>
      <w:r>
        <w:rPr>
          <w:rFonts w:ascii="Times New Roman" w:eastAsia="Times New Roman" w:hAnsi="Times New Roman" w:cs="Times New Roman"/>
          <w:sz w:val="25"/>
          <w:szCs w:val="25"/>
        </w:rPr>
        <w:t>пер. Майский, дом №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5"/>
          <w:szCs w:val="25"/>
        </w:rPr>
        <w:t>Алиева Г.А.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Алиева </w:t>
      </w:r>
      <w:r>
        <w:rPr>
          <w:rFonts w:ascii="Times New Roman" w:eastAsia="Times New Roman" w:hAnsi="Times New Roman" w:cs="Times New Roman"/>
          <w:sz w:val="25"/>
          <w:szCs w:val="25"/>
        </w:rPr>
        <w:t>Габибуллаха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36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гражданина РФ, </w:t>
      </w:r>
      <w:r>
        <w:rPr>
          <w:rStyle w:val="cat-PassportDatagrp-37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6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47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зарегистрированного по 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ресу </w:t>
      </w:r>
      <w:r>
        <w:rPr>
          <w:rStyle w:val="cat-Addressgrp-5rplc-1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Style w:val="cat-UserDefinedgrp-48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6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 </w:t>
      </w:r>
      <w:r>
        <w:rPr>
          <w:rStyle w:val="cat-Addressgrp-7rplc-1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г. Покачи ХМАО - Югры,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привлекаемого </w:t>
      </w:r>
      <w:r>
        <w:rPr>
          <w:rFonts w:ascii="Times New Roman" w:eastAsia="Times New Roman" w:hAnsi="Times New Roman" w:cs="Times New Roman"/>
          <w:sz w:val="25"/>
          <w:szCs w:val="25"/>
        </w:rPr>
        <w:t>по ч. 1 ст. 6.9 Кодекса Российской Федерации об административных правонарушениях,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left="19" w:firstLine="71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19" w:firstLine="710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Алиев Г.А. </w:t>
      </w:r>
      <w:r>
        <w:rPr>
          <w:rFonts w:ascii="Times New Roman" w:eastAsia="Times New Roman" w:hAnsi="Times New Roman" w:cs="Times New Roman"/>
          <w:sz w:val="25"/>
          <w:szCs w:val="25"/>
        </w:rPr>
        <w:t>3 мая 2024 года в 22 часа 30 минут находясь на лестничной площадке 1-го этажа 6-го подъезда дома № 8 по ул. Молодежная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Покачи ХМАО -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употребил наркотическое средство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мефедрон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без назначения врача. Согласно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справки о результатах химико-токсикологических исследований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3442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8 мая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Алиева Г.А. </w:t>
      </w:r>
      <w:r>
        <w:rPr>
          <w:rFonts w:ascii="Times New Roman" w:eastAsia="Times New Roman" w:hAnsi="Times New Roman" w:cs="Times New Roman"/>
          <w:sz w:val="25"/>
          <w:szCs w:val="25"/>
        </w:rPr>
        <w:t>обнаружен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наркотическое средство - </w:t>
      </w:r>
      <w:r>
        <w:rPr>
          <w:rFonts w:ascii="Times New Roman" w:eastAsia="Times New Roman" w:hAnsi="Times New Roman" w:cs="Times New Roman"/>
          <w:sz w:val="25"/>
          <w:szCs w:val="25"/>
        </w:rPr>
        <w:t>мефедрон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Алиев Г.А.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 вину свою в совершении правонарушения признал, в содеянном раскаялся</w:t>
      </w:r>
      <w:r>
        <w:rPr>
          <w:rFonts w:ascii="Times New Roman" w:eastAsia="Times New Roman" w:hAnsi="Times New Roman" w:cs="Times New Roman"/>
          <w:sz w:val="25"/>
          <w:szCs w:val="25"/>
        </w:rPr>
        <w:t>, суду сообщил, что наркотическ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е средств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без назначения врача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не </w:t>
      </w:r>
      <w:r>
        <w:rPr>
          <w:rFonts w:ascii="Times New Roman" w:eastAsia="Times New Roman" w:hAnsi="Times New Roman" w:cs="Times New Roman"/>
          <w:sz w:val="25"/>
          <w:szCs w:val="25"/>
        </w:rPr>
        <w:t>употреблял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Часть 1 статьи 6.9 Кодекса Российской Федерации об административных правонарушениях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веществ, за исключением случаев, предусмотренных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dst661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2 статьи 20.20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5" w:anchor="dst636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статьей 20.22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вещества, и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Лицо,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освидетельствование, которое проводится по направлению органов дознания, органа, осуществляющего оперативно-розыскную деятельность, следователя или судьи в медицинских организациях, специально уполномоченных на то федеральными органами исполнительной власти в сфере здравоохранения или органами исполнительной власти субъектов РФ в сфере здравоохранения.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Объективную сторону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 ст.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6.9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составляют действия, выражающиеся в: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а) потреблении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 (за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 ст.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20.20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20.22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невыполнении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Субъективная сторона предполагает наличие только умышленной формы вины. Виновный осознает, что осуществляет противоправные действия, предвидит их вредные последствия и желает их наступления либо сознательно допускает.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Алиева Г.А.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вышеуказанных действий помимо признательных показаний подтверждается: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86 № </w:t>
      </w:r>
      <w:r>
        <w:rPr>
          <w:rFonts w:ascii="Times New Roman" w:eastAsia="Times New Roman" w:hAnsi="Times New Roman" w:cs="Times New Roman"/>
          <w:sz w:val="25"/>
          <w:szCs w:val="25"/>
        </w:rPr>
        <w:t>286882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объяснением </w:t>
      </w:r>
      <w:r>
        <w:rPr>
          <w:rFonts w:ascii="Times New Roman" w:eastAsia="Times New Roman" w:hAnsi="Times New Roman" w:cs="Times New Roman"/>
          <w:sz w:val="25"/>
          <w:szCs w:val="25"/>
        </w:rPr>
        <w:t>Алиева А.Г.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мая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объяснением Алиева Г.А. от 4 мая 2024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объяснением </w:t>
      </w:r>
      <w:r>
        <w:rPr>
          <w:rFonts w:ascii="Times New Roman" w:eastAsia="Times New Roman" w:hAnsi="Times New Roman" w:cs="Times New Roman"/>
          <w:sz w:val="25"/>
          <w:szCs w:val="25"/>
        </w:rPr>
        <w:t>Волощенко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М.Э. от 4 мая 2024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врио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начальника полиции ОП № 3 МОМВД России «Нижневартовский»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капитана полиции </w:t>
      </w:r>
      <w:r>
        <w:rPr>
          <w:rFonts w:ascii="Times New Roman" w:eastAsia="Times New Roman" w:hAnsi="Times New Roman" w:cs="Times New Roman"/>
          <w:sz w:val="25"/>
          <w:szCs w:val="25"/>
        </w:rPr>
        <w:t>Муллаянова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Л.Р. от 4 мая 2024 года </w:t>
      </w:r>
      <w:r>
        <w:rPr>
          <w:rFonts w:ascii="Times New Roman" w:eastAsia="Times New Roman" w:hAnsi="Times New Roman" w:cs="Times New Roman"/>
          <w:sz w:val="25"/>
          <w:szCs w:val="25"/>
        </w:rPr>
        <w:t>об обнаружении признаков административного правонарушения;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рапорта оперативного дежурного ДЧ ОП № 3 МОМВД России «Нижневартовский» старшего лейтенанта полиции </w:t>
      </w:r>
      <w:r>
        <w:rPr>
          <w:rFonts w:ascii="Times New Roman" w:eastAsia="Times New Roman" w:hAnsi="Times New Roman" w:cs="Times New Roman"/>
          <w:sz w:val="25"/>
          <w:szCs w:val="25"/>
        </w:rPr>
        <w:t>Газизова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М.И. от 4 мая 2024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извещения БУ ХМАО – Югры «Покачевская городская больница» в МОМВД, о том, что Алиев Г.А. осмотрен 4 мая 2024 года в 03 час. 32 мин. диагностирована кома неясного генеза, острое отправление неизвестными веществами;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копией протокола направления на медицинское освидетельствование от 4 мая 2024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определения о возбуждении дела об административном правонарушении и проведения административного расследования от 6 мая 2024 года;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справкой о результатах химико-токсикологических исследований № 3442 от 8 мая 2024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справкой о результатах химико-токсикологических исследований № 3443 от 11 мая 2024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объяснением Алиева Г.А. от 17 мая 2024 года, согласно которому он 3 мая 2024 года в 22 часа 30 минут находясь на лестничной площадке 1-го этажа 6-го подъезда дома № 8 по ул. Молодежная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 Покачи употребил белое вещество в виде порошка на вкус, и понюхав его. Данное вещество находилось в маленьком свёртке в изоленте желто-зеленного цвета </w:t>
      </w:r>
      <w:r>
        <w:rPr>
          <w:rFonts w:ascii="Times New Roman" w:eastAsia="Times New Roman" w:hAnsi="Times New Roman" w:cs="Times New Roman"/>
          <w:sz w:val="25"/>
          <w:szCs w:val="25"/>
        </w:rPr>
        <w:t>на дороге недалеко от «Мечети» в лесном массиве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Также, в судебном заседании исследованы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паспорта на имя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Алиева Г.А.,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справка на физическое лицо на имя </w:t>
      </w:r>
      <w:r>
        <w:rPr>
          <w:rFonts w:ascii="Times New Roman" w:eastAsia="Times New Roman" w:hAnsi="Times New Roman" w:cs="Times New Roman"/>
          <w:sz w:val="25"/>
          <w:szCs w:val="25"/>
        </w:rPr>
        <w:t>Алиева Г.А.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рапорт-характеристика.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Алиев Г.А.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оспаривал факт потребления наркотических средств без назначения врача.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Имеющиеся в материалах дела доказательства не противоречивы, последовательны, соответствуют критерию допустимости и показаниям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Алиева Г.А. </w:t>
      </w:r>
      <w:r>
        <w:rPr>
          <w:rFonts w:ascii="Times New Roman" w:eastAsia="Times New Roman" w:hAnsi="Times New Roman" w:cs="Times New Roman"/>
          <w:sz w:val="25"/>
          <w:szCs w:val="25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Алиева Г.А.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1 ст. 6.9 Кодекса РФ об АП, доказана.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наличие </w:t>
      </w:r>
      <w:r>
        <w:rPr>
          <w:rFonts w:ascii="Times New Roman" w:eastAsia="Times New Roman" w:hAnsi="Times New Roman" w:cs="Times New Roman"/>
          <w:sz w:val="25"/>
          <w:szCs w:val="25"/>
        </w:rPr>
        <w:t>смягчающ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административную ответственность обстоятельства-признание вины, раскаяние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отягчающих административную ответственность обстоятельств, и полагает необходимым назначить 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ч. 2.1 ст. 4.1 Кодекса РФ об АП при назначении административного наказания за совершение административных правонарушений в области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5"/>
          <w:szCs w:val="25"/>
        </w:rPr>
        <w:t>прекурсорах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Учитывая, что в материалах дела не имеется доказательств, свидетельствующих о об употреблении Алиев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Г.А. наркотических средств, сам </w:t>
      </w:r>
      <w:r>
        <w:rPr>
          <w:rFonts w:ascii="Times New Roman" w:eastAsia="Times New Roman" w:hAnsi="Times New Roman" w:cs="Times New Roman"/>
          <w:sz w:val="25"/>
          <w:szCs w:val="25"/>
        </w:rPr>
        <w:t>Алиев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Г.А. отрицает употребление наркотических средств, впервые привлекается к административной ответственности за употребление наркотических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средств </w:t>
      </w:r>
      <w:r>
        <w:rPr>
          <w:rFonts w:ascii="Times New Roman" w:eastAsia="Times New Roman" w:hAnsi="Times New Roman" w:cs="Times New Roman"/>
          <w:sz w:val="25"/>
          <w:szCs w:val="25"/>
        </w:rPr>
        <w:t>и систематичность в его действиях не установлена, суд не считает необходимым возлагать на Алиева Г.А. какие-либо обязанности, предусмотренные ч.2.1 ст.4.1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и, руководствуясь ст. 29.9-29.11 КоАП РФ, 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Алиева </w:t>
      </w:r>
      <w:r>
        <w:rPr>
          <w:rFonts w:ascii="Times New Roman" w:eastAsia="Times New Roman" w:hAnsi="Times New Roman" w:cs="Times New Roman"/>
          <w:sz w:val="25"/>
          <w:szCs w:val="25"/>
        </w:rPr>
        <w:t>Габибуллаха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4 000 (четыре тысячи)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5"/>
          <w:szCs w:val="25"/>
        </w:rPr>
        <w:t>ативного штрафа в законную силу.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0412365400235003722406142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КБК 72011601063010009140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ОКТМО 71884000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QR</w:t>
      </w:r>
      <w:r>
        <w:rPr>
          <w:rFonts w:ascii="Times New Roman" w:eastAsia="Times New Roman" w:hAnsi="Times New Roman" w:cs="Times New Roman"/>
          <w:sz w:val="25"/>
          <w:szCs w:val="25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5"/>
          <w:szCs w:val="25"/>
        </w:rPr>
        <w:t>QR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-код.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  <w:sz w:val="25"/>
          <w:szCs w:val="25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5"/>
          <w:szCs w:val="25"/>
        </w:rPr>
        <w:t>0412365400235003722406142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ОКТМО (</w:t>
      </w:r>
      <w:r>
        <w:rPr>
          <w:rFonts w:ascii="Times New Roman" w:eastAsia="Times New Roman" w:hAnsi="Times New Roman" w:cs="Times New Roman"/>
          <w:sz w:val="25"/>
          <w:szCs w:val="25"/>
        </w:rPr>
        <w:t>71884000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код бюджетной классификации (</w:t>
      </w:r>
      <w:r>
        <w:rPr>
          <w:rFonts w:ascii="Times New Roman" w:eastAsia="Times New Roman" w:hAnsi="Times New Roman" w:cs="Times New Roman"/>
          <w:sz w:val="25"/>
          <w:szCs w:val="25"/>
        </w:rPr>
        <w:t>72011601063010009140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372</w:t>
      </w:r>
      <w:r>
        <w:rPr>
          <w:rFonts w:ascii="Times New Roman" w:eastAsia="Times New Roman" w:hAnsi="Times New Roman" w:cs="Times New Roman"/>
          <w:sz w:val="25"/>
          <w:szCs w:val="25"/>
        </w:rPr>
        <w:t>-2301/202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5"/>
          <w:szCs w:val="25"/>
        </w:rPr>
        <w:t>4 000 рублей 00 копеек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ч. 1 ст. 32.2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районный суд ХМАО-Югры в течение 10 суток. </w:t>
      </w:r>
    </w:p>
    <w:p>
      <w:pPr>
        <w:widowControl w:val="0"/>
        <w:spacing w:before="0" w:after="0"/>
        <w:rPr>
          <w:sz w:val="25"/>
          <w:szCs w:val="25"/>
        </w:rPr>
      </w:pPr>
    </w:p>
    <w:p>
      <w:pPr>
        <w:widowControl w:val="0"/>
        <w:spacing w:before="0" w:after="0"/>
        <w:rPr>
          <w:sz w:val="25"/>
          <w:szCs w:val="25"/>
        </w:rPr>
      </w:pP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судья: подпись</w:t>
      </w: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Г.Х. Янбаева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372-2301/2024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6rplc-9">
    <w:name w:val="cat-PassportData grp-36 rplc-9"/>
    <w:basedOn w:val="DefaultParagraphFont"/>
  </w:style>
  <w:style w:type="character" w:customStyle="1" w:styleId="cat-PassportDatagrp-37rplc-10">
    <w:name w:val="cat-PassportData grp-37 rplc-10"/>
    <w:basedOn w:val="DefaultParagraphFont"/>
  </w:style>
  <w:style w:type="character" w:customStyle="1" w:styleId="cat-ExternalSystemDefinedgrp-46rplc-11">
    <w:name w:val="cat-ExternalSystemDefined grp-46 rplc-11"/>
    <w:basedOn w:val="DefaultParagraphFont"/>
  </w:style>
  <w:style w:type="character" w:customStyle="1" w:styleId="cat-UserDefinedgrp-47rplc-12">
    <w:name w:val="cat-UserDefined grp-47 rplc-12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UserDefinedgrp-48rplc-15">
    <w:name w:val="cat-UserDefined grp-48 rplc-15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7rplc-18">
    <w:name w:val="cat-Address grp-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5681/4ee8ed4827b630a5db4450b7a2559e62cddd91f1/" TargetMode="External" /><Relationship Id="rId5" Type="http://schemas.openxmlformats.org/officeDocument/2006/relationships/hyperlink" Target="http://www.consultant.ru/document/cons_doc_LAW_325681/75d58edae04737f3247d92410bb8c0bb873071bf/" TargetMode="External" /><Relationship Id="rId6" Type="http://schemas.openxmlformats.org/officeDocument/2006/relationships/hyperlink" Target="garantf1://12025267.691/" TargetMode="External" /><Relationship Id="rId7" Type="http://schemas.openxmlformats.org/officeDocument/2006/relationships/hyperlink" Target="garantf1://12025267.202002/" TargetMode="External" /><Relationship Id="rId8" Type="http://schemas.openxmlformats.org/officeDocument/2006/relationships/hyperlink" Target="garantf1://12025267.2022/" TargetMode="External" /><Relationship Id="rId9" Type="http://schemas.openxmlformats.org/officeDocument/2006/relationships/hyperlink" Target="garantf1://12007402.3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